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0F16E" w14:textId="1CB0B199" w:rsidR="00C90F5E" w:rsidRPr="00074106" w:rsidRDefault="00307297" w:rsidP="00C90F5E">
      <w:pPr>
        <w:shd w:val="clear" w:color="auto" w:fill="FFFFFF"/>
        <w:jc w:val="center"/>
        <w:rPr>
          <w:rFonts w:asciiTheme="minorHAnsi" w:hAnsiTheme="minorHAnsi" w:cstheme="minorHAnsi"/>
          <w:sz w:val="28"/>
          <w:szCs w:val="28"/>
          <w:lang w:val="en-ZA"/>
        </w:rPr>
      </w:pPr>
      <w:r w:rsidRPr="00074106">
        <w:rPr>
          <w:rFonts w:asciiTheme="minorHAnsi" w:hAnsiTheme="minorHAnsi" w:cstheme="minorHAnsi"/>
          <w:sz w:val="28"/>
          <w:szCs w:val="28"/>
          <w:lang w:val="en-ZA"/>
        </w:rPr>
        <w:t xml:space="preserve">Satellite </w:t>
      </w:r>
      <w:r w:rsidR="00783BFF" w:rsidRPr="00074106">
        <w:rPr>
          <w:rFonts w:asciiTheme="minorHAnsi" w:hAnsiTheme="minorHAnsi" w:cstheme="minorHAnsi"/>
          <w:sz w:val="28"/>
          <w:szCs w:val="28"/>
          <w:lang w:val="en-ZA"/>
        </w:rPr>
        <w:t>session</w:t>
      </w:r>
      <w:r w:rsidR="00C90F5E" w:rsidRPr="00074106">
        <w:rPr>
          <w:rFonts w:asciiTheme="minorHAnsi" w:hAnsiTheme="minorHAnsi" w:cstheme="minorHAnsi"/>
          <w:sz w:val="28"/>
          <w:szCs w:val="28"/>
          <w:lang w:val="en-ZA"/>
        </w:rPr>
        <w:t>: Monday, 8 October 2018, 9:00 – 17:00 hrs, Liverpool</w:t>
      </w:r>
    </w:p>
    <w:p w14:paraId="2E460CF8" w14:textId="5D7C8A08" w:rsidR="00307297" w:rsidRPr="00074106" w:rsidRDefault="00307297" w:rsidP="000E1E19">
      <w:pPr>
        <w:shd w:val="clear" w:color="auto" w:fill="FFFFFF"/>
        <w:rPr>
          <w:rFonts w:asciiTheme="minorHAnsi" w:hAnsiTheme="minorHAnsi" w:cstheme="minorHAnsi"/>
          <w:sz w:val="28"/>
          <w:szCs w:val="28"/>
          <w:lang w:val="en-ZA"/>
        </w:rPr>
      </w:pPr>
    </w:p>
    <w:p w14:paraId="1DFDF2A6" w14:textId="0CB44B52" w:rsidR="001815E3" w:rsidRPr="00074106" w:rsidRDefault="00ED0270" w:rsidP="001815E3">
      <w:pPr>
        <w:jc w:val="center"/>
        <w:rPr>
          <w:rFonts w:asciiTheme="minorHAnsi" w:hAnsiTheme="minorHAnsi" w:cstheme="minorBidi"/>
          <w:b/>
          <w:i/>
          <w:sz w:val="28"/>
          <w:szCs w:val="28"/>
          <w:lang w:val="en-US" w:eastAsia="en-US"/>
        </w:rPr>
      </w:pPr>
      <w:r w:rsidRPr="00074106">
        <w:rPr>
          <w:rFonts w:asciiTheme="minorHAnsi" w:hAnsiTheme="minorHAnsi" w:cstheme="minorBidi"/>
          <w:b/>
          <w:i/>
          <w:sz w:val="28"/>
          <w:szCs w:val="28"/>
          <w:lang w:val="en-US" w:eastAsia="en-US"/>
        </w:rPr>
        <w:t>Leaving no wom</w:t>
      </w:r>
      <w:r w:rsidR="001815E3" w:rsidRPr="00074106">
        <w:rPr>
          <w:rFonts w:asciiTheme="minorHAnsi" w:hAnsiTheme="minorHAnsi" w:cstheme="minorBidi"/>
          <w:b/>
          <w:i/>
          <w:sz w:val="28"/>
          <w:szCs w:val="28"/>
          <w:lang w:val="en-US" w:eastAsia="en-US"/>
        </w:rPr>
        <w:t>a</w:t>
      </w:r>
      <w:r w:rsidRPr="00074106">
        <w:rPr>
          <w:rFonts w:asciiTheme="minorHAnsi" w:hAnsiTheme="minorHAnsi" w:cstheme="minorBidi"/>
          <w:b/>
          <w:i/>
          <w:sz w:val="28"/>
          <w:szCs w:val="28"/>
          <w:lang w:val="en-US" w:eastAsia="en-US"/>
        </w:rPr>
        <w:t>n</w:t>
      </w:r>
      <w:r w:rsidR="001815E3" w:rsidRPr="00074106">
        <w:rPr>
          <w:rFonts w:asciiTheme="minorHAnsi" w:hAnsiTheme="minorHAnsi" w:cstheme="minorBidi"/>
          <w:b/>
          <w:i/>
          <w:sz w:val="28"/>
          <w:szCs w:val="28"/>
          <w:lang w:val="en-US" w:eastAsia="en-US"/>
        </w:rPr>
        <w:t>,</w:t>
      </w:r>
      <w:r w:rsidRPr="00074106">
        <w:rPr>
          <w:rFonts w:asciiTheme="minorHAnsi" w:hAnsiTheme="minorHAnsi" w:cstheme="minorBidi"/>
          <w:b/>
          <w:i/>
          <w:sz w:val="28"/>
          <w:szCs w:val="28"/>
          <w:lang w:val="en-US" w:eastAsia="en-US"/>
        </w:rPr>
        <w:t xml:space="preserve"> no child behind: </w:t>
      </w:r>
    </w:p>
    <w:p w14:paraId="1C320BC1" w14:textId="1227DAB4" w:rsidR="00ED0270" w:rsidRPr="00074106" w:rsidRDefault="00664D9F" w:rsidP="001815E3">
      <w:pPr>
        <w:jc w:val="center"/>
        <w:rPr>
          <w:rFonts w:asciiTheme="minorHAnsi" w:hAnsiTheme="minorHAnsi" w:cstheme="minorBidi"/>
          <w:b/>
          <w:i/>
          <w:sz w:val="28"/>
          <w:szCs w:val="28"/>
          <w:lang w:val="en-US" w:eastAsia="en-US"/>
        </w:rPr>
      </w:pPr>
      <w:r w:rsidRPr="00074106">
        <w:rPr>
          <w:rFonts w:asciiTheme="minorHAnsi" w:hAnsiTheme="minorHAnsi" w:cstheme="minorBidi"/>
          <w:b/>
          <w:i/>
          <w:sz w:val="28"/>
          <w:szCs w:val="28"/>
          <w:lang w:val="en-US" w:eastAsia="en-US"/>
        </w:rPr>
        <w:t>what evidence o</w:t>
      </w:r>
      <w:r w:rsidR="00ED0270" w:rsidRPr="00074106">
        <w:rPr>
          <w:rFonts w:asciiTheme="minorHAnsi" w:hAnsiTheme="minorHAnsi" w:cstheme="minorBidi"/>
          <w:b/>
          <w:i/>
          <w:sz w:val="28"/>
          <w:szCs w:val="28"/>
          <w:lang w:val="en-US" w:eastAsia="en-US"/>
        </w:rPr>
        <w:t xml:space="preserve">n inequalities for RMNCH </w:t>
      </w:r>
      <w:r w:rsidR="00ED0270" w:rsidRPr="00074106">
        <w:rPr>
          <w:rFonts w:asciiTheme="minorHAnsi" w:hAnsiTheme="minorHAnsi" w:cstheme="minorHAnsi"/>
          <w:b/>
          <w:i/>
          <w:sz w:val="28"/>
          <w:szCs w:val="28"/>
          <w:lang w:val="en-ZA"/>
        </w:rPr>
        <w:t xml:space="preserve">is needed </w:t>
      </w:r>
      <w:r w:rsidR="000E1E19" w:rsidRPr="00074106">
        <w:rPr>
          <w:rFonts w:asciiTheme="minorHAnsi" w:hAnsiTheme="minorHAnsi" w:cstheme="minorHAnsi"/>
          <w:b/>
          <w:i/>
          <w:sz w:val="28"/>
          <w:szCs w:val="28"/>
          <w:lang w:val="en-ZA"/>
        </w:rPr>
        <w:t>to advocate and act?</w:t>
      </w:r>
    </w:p>
    <w:p w14:paraId="2E309E6A" w14:textId="77777777" w:rsidR="00ED0270" w:rsidRPr="00074106" w:rsidRDefault="00ED0270" w:rsidP="00ED0270">
      <w:pPr>
        <w:shd w:val="clear" w:color="auto" w:fill="FFFFFF"/>
        <w:jc w:val="center"/>
        <w:rPr>
          <w:rFonts w:asciiTheme="minorHAnsi" w:hAnsiTheme="minorHAnsi" w:cstheme="minorHAnsi"/>
          <w:b/>
          <w:sz w:val="28"/>
          <w:szCs w:val="28"/>
          <w:lang w:val="en-ZA"/>
        </w:rPr>
      </w:pPr>
    </w:p>
    <w:p w14:paraId="129B9E97" w14:textId="77777777" w:rsidR="00077329" w:rsidRPr="00077329" w:rsidRDefault="00077329" w:rsidP="00ED0270">
      <w:pPr>
        <w:shd w:val="clear" w:color="auto" w:fill="FFFFFF"/>
        <w:jc w:val="center"/>
        <w:rPr>
          <w:rFonts w:asciiTheme="minorHAnsi" w:hAnsiTheme="minorHAnsi" w:cstheme="minorHAnsi"/>
          <w:b/>
          <w:i/>
          <w:lang w:val="en-ZA"/>
        </w:rPr>
      </w:pPr>
      <w:r w:rsidRPr="00077329">
        <w:rPr>
          <w:rFonts w:asciiTheme="minorHAnsi" w:hAnsiTheme="minorHAnsi" w:cstheme="minorHAnsi"/>
          <w:b/>
          <w:i/>
          <w:lang w:val="en-ZA"/>
        </w:rPr>
        <w:t>Organized by:</w:t>
      </w:r>
    </w:p>
    <w:p w14:paraId="578CDB0D" w14:textId="14E43A41" w:rsidR="000E1E19" w:rsidRPr="00077329" w:rsidRDefault="000E1E19" w:rsidP="00ED0270">
      <w:pPr>
        <w:shd w:val="clear" w:color="auto" w:fill="FFFFFF"/>
        <w:jc w:val="center"/>
        <w:rPr>
          <w:rFonts w:asciiTheme="minorHAnsi" w:hAnsiTheme="minorHAnsi" w:cstheme="minorHAnsi"/>
          <w:b/>
          <w:lang w:val="en-ZA"/>
        </w:rPr>
      </w:pPr>
      <w:r w:rsidRPr="00077329">
        <w:rPr>
          <w:rFonts w:asciiTheme="minorHAnsi" w:hAnsiTheme="minorHAnsi" w:cstheme="minorHAnsi"/>
          <w:b/>
          <w:i/>
          <w:lang w:val="en-ZA"/>
        </w:rPr>
        <w:t xml:space="preserve">Countdown </w:t>
      </w:r>
      <w:r w:rsidR="00307297" w:rsidRPr="00077329">
        <w:rPr>
          <w:rFonts w:asciiTheme="minorHAnsi" w:hAnsiTheme="minorHAnsi" w:cstheme="minorHAnsi"/>
          <w:b/>
          <w:i/>
          <w:lang w:val="en-ZA"/>
        </w:rPr>
        <w:t xml:space="preserve">to 2030 </w:t>
      </w:r>
      <w:r w:rsidRPr="00077329">
        <w:rPr>
          <w:rFonts w:asciiTheme="minorHAnsi" w:hAnsiTheme="minorHAnsi" w:cstheme="minorHAnsi"/>
          <w:b/>
          <w:i/>
          <w:lang w:val="en-ZA"/>
        </w:rPr>
        <w:t>for Women’s, Children’s and Adolescents’ Health</w:t>
      </w:r>
    </w:p>
    <w:p w14:paraId="2030B8AD" w14:textId="77777777" w:rsidR="001E7894" w:rsidRPr="00994232" w:rsidRDefault="001E7894" w:rsidP="000E1E19">
      <w:pPr>
        <w:shd w:val="clear" w:color="auto" w:fill="FFFFFF"/>
        <w:rPr>
          <w:rFonts w:asciiTheme="minorHAnsi" w:hAnsiTheme="minorHAnsi" w:cstheme="minorHAnsi"/>
          <w:sz w:val="22"/>
          <w:szCs w:val="22"/>
          <w:lang w:val="en-ZA"/>
        </w:rPr>
      </w:pPr>
    </w:p>
    <w:p w14:paraId="264D3210" w14:textId="77777777" w:rsidR="000A5070" w:rsidRPr="00074106" w:rsidRDefault="000A5070" w:rsidP="000E1E19">
      <w:pPr>
        <w:shd w:val="clear" w:color="auto" w:fill="FFFFFF"/>
        <w:rPr>
          <w:rFonts w:asciiTheme="minorHAnsi" w:hAnsiTheme="minorHAnsi"/>
          <w:color w:val="000000"/>
        </w:rPr>
      </w:pPr>
    </w:p>
    <w:p w14:paraId="666A30F4" w14:textId="7A89DA5D" w:rsidR="00491F21" w:rsidRPr="00074106" w:rsidRDefault="00ED0270" w:rsidP="003B7007">
      <w:pPr>
        <w:shd w:val="clear" w:color="auto" w:fill="FFFFFF"/>
        <w:rPr>
          <w:rFonts w:asciiTheme="minorHAnsi" w:hAnsiTheme="minorHAnsi" w:cstheme="minorHAnsi"/>
        </w:rPr>
      </w:pPr>
      <w:r w:rsidRPr="00074106">
        <w:rPr>
          <w:rFonts w:asciiTheme="minorHAnsi" w:hAnsiTheme="minorHAnsi" w:cstheme="minorHAnsi"/>
        </w:rPr>
        <w:t xml:space="preserve">The SDGs provide a framework for reaching everyone with quality services. Evidence </w:t>
      </w:r>
      <w:r w:rsidR="00491F21" w:rsidRPr="00074106">
        <w:rPr>
          <w:rFonts w:asciiTheme="minorHAnsi" w:hAnsiTheme="minorHAnsi" w:cstheme="minorHAnsi"/>
        </w:rPr>
        <w:t xml:space="preserve">on who is left behind </w:t>
      </w:r>
      <w:r w:rsidRPr="00074106">
        <w:rPr>
          <w:rFonts w:asciiTheme="minorHAnsi" w:hAnsiTheme="minorHAnsi" w:cstheme="minorHAnsi"/>
        </w:rPr>
        <w:t xml:space="preserve">is necessary to ensure that health systems are focused on reaching all </w:t>
      </w:r>
      <w:r w:rsidR="003B7007" w:rsidRPr="00074106">
        <w:rPr>
          <w:rFonts w:asciiTheme="minorHAnsi" w:hAnsiTheme="minorHAnsi" w:cstheme="minorHAnsi"/>
        </w:rPr>
        <w:t>people in need</w:t>
      </w:r>
      <w:r w:rsidR="001815E3" w:rsidRPr="00074106">
        <w:rPr>
          <w:rFonts w:asciiTheme="minorHAnsi" w:hAnsiTheme="minorHAnsi" w:cstheme="minorHAnsi"/>
        </w:rPr>
        <w:t xml:space="preserve"> and make progress towards universal health coverage</w:t>
      </w:r>
      <w:r w:rsidRPr="00074106">
        <w:rPr>
          <w:rFonts w:asciiTheme="minorHAnsi" w:hAnsiTheme="minorHAnsi" w:cstheme="minorHAnsi"/>
        </w:rPr>
        <w:t xml:space="preserve">. Innovative analyses of data on levels and trends in inequalities are needed to inform </w:t>
      </w:r>
      <w:r w:rsidR="003B7007" w:rsidRPr="00074106">
        <w:rPr>
          <w:rFonts w:asciiTheme="minorHAnsi" w:hAnsiTheme="minorHAnsi" w:cstheme="minorHAnsi"/>
        </w:rPr>
        <w:t xml:space="preserve">programs and ensure accountability. </w:t>
      </w:r>
      <w:r w:rsidR="00491F21" w:rsidRPr="00074106">
        <w:rPr>
          <w:rFonts w:asciiTheme="minorHAnsi" w:hAnsiTheme="minorHAnsi" w:cstheme="minorHAnsi"/>
        </w:rPr>
        <w:t>Countries need the capacity to generate socially robust information on health inequalities.</w:t>
      </w:r>
      <w:r w:rsidR="001815E3" w:rsidRPr="00074106">
        <w:rPr>
          <w:rFonts w:asciiTheme="minorHAnsi" w:hAnsiTheme="minorHAnsi" w:cstheme="minorHAnsi"/>
        </w:rPr>
        <w:t xml:space="preserve"> And we need to be smart about generating and communicating the evidence that has the greatest impact on policies and programs.</w:t>
      </w:r>
    </w:p>
    <w:p w14:paraId="755B7BC7" w14:textId="77777777" w:rsidR="00491F21" w:rsidRPr="00074106" w:rsidRDefault="00491F21" w:rsidP="003B7007">
      <w:pPr>
        <w:shd w:val="clear" w:color="auto" w:fill="FFFFFF"/>
        <w:rPr>
          <w:rFonts w:asciiTheme="minorHAnsi" w:hAnsiTheme="minorHAnsi"/>
          <w:color w:val="000000"/>
        </w:rPr>
      </w:pPr>
    </w:p>
    <w:p w14:paraId="0EBD9E5F" w14:textId="53363B0E" w:rsidR="001815E3" w:rsidRPr="00074106" w:rsidRDefault="003B7007" w:rsidP="001815E3">
      <w:pPr>
        <w:rPr>
          <w:rFonts w:asciiTheme="minorHAnsi" w:hAnsiTheme="minorHAnsi" w:cstheme="minorHAnsi"/>
        </w:rPr>
      </w:pPr>
      <w:r w:rsidRPr="00074106">
        <w:rPr>
          <w:rFonts w:asciiTheme="minorHAnsi" w:hAnsiTheme="minorHAnsi"/>
          <w:color w:val="000000"/>
        </w:rPr>
        <w:t>T</w:t>
      </w:r>
      <w:r w:rsidRPr="00074106">
        <w:rPr>
          <w:rFonts w:asciiTheme="minorHAnsi" w:hAnsiTheme="minorHAnsi"/>
          <w:color w:val="000000"/>
          <w:lang w:val="en-ZA"/>
        </w:rPr>
        <w:t xml:space="preserve">his satellite symposium presents results from </w:t>
      </w:r>
      <w:r w:rsidRPr="00074106">
        <w:rPr>
          <w:rFonts w:asciiTheme="minorHAnsi" w:hAnsiTheme="minorHAnsi"/>
          <w:i/>
          <w:color w:val="000000"/>
          <w:lang w:val="en-ZA"/>
        </w:rPr>
        <w:t>Countdown to 2030 for women’s, children’s and adolescents’ health</w:t>
      </w:r>
      <w:r w:rsidRPr="00074106">
        <w:rPr>
          <w:rFonts w:asciiTheme="minorHAnsi" w:hAnsiTheme="minorHAnsi"/>
          <w:color w:val="000000"/>
          <w:lang w:val="en-ZA"/>
        </w:rPr>
        <w:t xml:space="preserve"> regional initiatives to show what can be done through better use of existing data and working with country health institutions.</w:t>
      </w:r>
      <w:r w:rsidR="001815E3" w:rsidRPr="00074106">
        <w:rPr>
          <w:rFonts w:asciiTheme="minorHAnsi" w:hAnsiTheme="minorHAnsi"/>
          <w:color w:val="000000"/>
          <w:lang w:val="en-ZA"/>
        </w:rPr>
        <w:t xml:space="preserve"> </w:t>
      </w:r>
      <w:r w:rsidRPr="00074106">
        <w:rPr>
          <w:rFonts w:asciiTheme="minorHAnsi" w:hAnsiTheme="minorHAnsi"/>
          <w:color w:val="000000"/>
          <w:lang w:val="en-ZA"/>
        </w:rPr>
        <w:t xml:space="preserve"> This includes </w:t>
      </w:r>
      <w:r w:rsidR="001815E3" w:rsidRPr="00074106">
        <w:rPr>
          <w:rFonts w:asciiTheme="minorHAnsi" w:hAnsiTheme="minorHAnsi"/>
          <w:color w:val="000000"/>
          <w:lang w:val="en-ZA"/>
        </w:rPr>
        <w:t>multiple dimensions of inequality</w:t>
      </w:r>
      <w:r w:rsidRPr="00074106">
        <w:rPr>
          <w:rFonts w:asciiTheme="minorHAnsi" w:hAnsiTheme="minorHAnsi"/>
          <w:color w:val="000000"/>
        </w:rPr>
        <w:t xml:space="preserve">, </w:t>
      </w:r>
      <w:r w:rsidRPr="00074106">
        <w:rPr>
          <w:rFonts w:asciiTheme="minorHAnsi" w:hAnsiTheme="minorHAnsi"/>
          <w:color w:val="000000"/>
          <w:lang w:val="en-ZA"/>
        </w:rPr>
        <w:t>as well as a focus on conflict-affected countries.</w:t>
      </w:r>
      <w:r w:rsidR="001815E3" w:rsidRPr="00074106">
        <w:rPr>
          <w:rFonts w:asciiTheme="minorHAnsi" w:hAnsiTheme="minorHAnsi" w:cstheme="minorHAnsi"/>
        </w:rPr>
        <w:t xml:space="preserve"> Much can be learned from </w:t>
      </w:r>
      <w:r w:rsidR="00EB0391" w:rsidRPr="00074106">
        <w:rPr>
          <w:rFonts w:asciiTheme="minorHAnsi" w:hAnsiTheme="minorHAnsi" w:cstheme="minorHAnsi"/>
        </w:rPr>
        <w:t xml:space="preserve">tracking </w:t>
      </w:r>
      <w:r w:rsidR="001815E3" w:rsidRPr="00074106">
        <w:rPr>
          <w:rFonts w:asciiTheme="minorHAnsi" w:hAnsiTheme="minorHAnsi" w:cstheme="minorHAnsi"/>
        </w:rPr>
        <w:t>reproductive, maternal and child health where m</w:t>
      </w:r>
      <w:r w:rsidR="00F1001E">
        <w:rPr>
          <w:rFonts w:asciiTheme="minorHAnsi" w:hAnsiTheme="minorHAnsi" w:cstheme="minorHAnsi"/>
        </w:rPr>
        <w:t>onitoring</w:t>
      </w:r>
      <w:r w:rsidR="001815E3" w:rsidRPr="00074106">
        <w:rPr>
          <w:rFonts w:asciiTheme="minorHAnsi" w:hAnsiTheme="minorHAnsi" w:cstheme="minorHAnsi"/>
        </w:rPr>
        <w:t xml:space="preserve"> of inequalities is most advanced</w:t>
      </w:r>
      <w:r w:rsidR="00EB0391" w:rsidRPr="00074106">
        <w:rPr>
          <w:rFonts w:asciiTheme="minorHAnsi" w:hAnsiTheme="minorHAnsi" w:cstheme="minorHAnsi"/>
        </w:rPr>
        <w:t>, both in terms of how to best identify the disadvantaged populations and to assess ways in which inequality data makes a difference in advocacy, targeting in policies and programs and accountability</w:t>
      </w:r>
      <w:r w:rsidR="00F1001E">
        <w:rPr>
          <w:rFonts w:asciiTheme="minorHAnsi" w:hAnsiTheme="minorHAnsi" w:cstheme="minorHAnsi"/>
        </w:rPr>
        <w:t>.</w:t>
      </w:r>
    </w:p>
    <w:p w14:paraId="09F58582" w14:textId="76BD2E4D" w:rsidR="003B7007" w:rsidRPr="00074106" w:rsidRDefault="003B7007" w:rsidP="003B7007">
      <w:pPr>
        <w:shd w:val="clear" w:color="auto" w:fill="FFFFFF"/>
        <w:rPr>
          <w:rFonts w:asciiTheme="minorHAnsi" w:hAnsiTheme="minorHAnsi"/>
          <w:color w:val="000000"/>
          <w:lang w:val="en-ZA"/>
        </w:rPr>
      </w:pPr>
    </w:p>
    <w:p w14:paraId="46CC5C43" w14:textId="7CE1AD8A" w:rsidR="00491F21" w:rsidRPr="00074106" w:rsidRDefault="00EB0391" w:rsidP="003B7007">
      <w:pPr>
        <w:shd w:val="clear" w:color="auto" w:fill="FFFFFF"/>
        <w:rPr>
          <w:rFonts w:asciiTheme="minorHAnsi" w:hAnsiTheme="minorHAnsi" w:cstheme="minorHAnsi"/>
          <w:lang w:val="en-ZA"/>
        </w:rPr>
      </w:pPr>
      <w:r w:rsidRPr="00074106">
        <w:rPr>
          <w:rFonts w:asciiTheme="minorHAnsi" w:hAnsiTheme="minorHAnsi" w:cstheme="minorHAnsi"/>
          <w:lang w:val="en-ZA"/>
        </w:rPr>
        <w:t>Interactive electronic voting</w:t>
      </w:r>
      <w:r w:rsidR="00C333BA">
        <w:rPr>
          <w:rFonts w:asciiTheme="minorHAnsi" w:hAnsiTheme="minorHAnsi" w:cstheme="minorHAnsi"/>
          <w:lang w:val="en-ZA"/>
        </w:rPr>
        <w:t xml:space="preserve"> that engage audiences will preface</w:t>
      </w:r>
      <w:r w:rsidRPr="00074106">
        <w:rPr>
          <w:rFonts w:asciiTheme="minorHAnsi" w:hAnsiTheme="minorHAnsi" w:cstheme="minorHAnsi"/>
          <w:lang w:val="en-ZA"/>
        </w:rPr>
        <w:t xml:space="preserve"> p</w:t>
      </w:r>
      <w:r w:rsidR="003B7007" w:rsidRPr="00074106">
        <w:rPr>
          <w:rFonts w:asciiTheme="minorHAnsi" w:hAnsiTheme="minorHAnsi" w:cstheme="minorHAnsi"/>
          <w:lang w:val="en-ZA"/>
        </w:rPr>
        <w:t xml:space="preserve">resentations </w:t>
      </w:r>
      <w:r w:rsidRPr="00074106">
        <w:rPr>
          <w:rFonts w:asciiTheme="minorHAnsi" w:hAnsiTheme="minorHAnsi" w:cstheme="minorHAnsi"/>
          <w:lang w:val="en-ZA"/>
        </w:rPr>
        <w:t>from</w:t>
      </w:r>
      <w:r w:rsidR="003B7007" w:rsidRPr="00074106">
        <w:rPr>
          <w:rFonts w:asciiTheme="minorHAnsi" w:hAnsiTheme="minorHAnsi" w:cstheme="minorHAnsi"/>
          <w:lang w:val="en-ZA"/>
        </w:rPr>
        <w:t xml:space="preserve"> the </w:t>
      </w:r>
      <w:r w:rsidR="003B7007" w:rsidRPr="00074106">
        <w:rPr>
          <w:rFonts w:asciiTheme="minorHAnsi" w:hAnsiTheme="minorHAnsi" w:cstheme="minorHAnsi"/>
          <w:i/>
          <w:lang w:val="en-ZA"/>
        </w:rPr>
        <w:t xml:space="preserve">Countdown </w:t>
      </w:r>
      <w:r w:rsidR="001815E3" w:rsidRPr="00074106">
        <w:rPr>
          <w:rFonts w:asciiTheme="minorHAnsi" w:hAnsiTheme="minorHAnsi" w:cstheme="minorHAnsi"/>
          <w:i/>
          <w:lang w:val="en-ZA"/>
        </w:rPr>
        <w:t>to 2030</w:t>
      </w:r>
      <w:r w:rsidR="001815E3" w:rsidRPr="00074106">
        <w:rPr>
          <w:rFonts w:asciiTheme="minorHAnsi" w:hAnsiTheme="minorHAnsi" w:cstheme="minorHAnsi"/>
          <w:lang w:val="en-ZA"/>
        </w:rPr>
        <w:t xml:space="preserve"> </w:t>
      </w:r>
      <w:r w:rsidR="003B7007" w:rsidRPr="00074106">
        <w:rPr>
          <w:rFonts w:asciiTheme="minorHAnsi" w:hAnsiTheme="minorHAnsi" w:cstheme="minorHAnsi"/>
          <w:lang w:val="en-ZA"/>
        </w:rPr>
        <w:t>work in regional and thematic networks</w:t>
      </w:r>
      <w:r w:rsidRPr="00074106">
        <w:rPr>
          <w:rFonts w:asciiTheme="minorHAnsi" w:hAnsiTheme="minorHAnsi" w:cstheme="minorHAnsi"/>
          <w:lang w:val="en-ZA"/>
        </w:rPr>
        <w:t xml:space="preserve"> </w:t>
      </w:r>
      <w:r w:rsidR="00491F21" w:rsidRPr="00074106">
        <w:rPr>
          <w:rFonts w:asciiTheme="minorHAnsi" w:hAnsiTheme="minorHAnsi" w:cstheme="minorHAnsi"/>
          <w:lang w:val="en-ZA"/>
        </w:rPr>
        <w:t xml:space="preserve">to discuss </w:t>
      </w:r>
      <w:r w:rsidRPr="00074106">
        <w:rPr>
          <w:rFonts w:asciiTheme="minorHAnsi" w:hAnsiTheme="minorHAnsi" w:cstheme="minorHAnsi"/>
          <w:lang w:val="en-ZA"/>
        </w:rPr>
        <w:t xml:space="preserve">three </w:t>
      </w:r>
      <w:r w:rsidR="00491F21" w:rsidRPr="00074106">
        <w:rPr>
          <w:rFonts w:asciiTheme="minorHAnsi" w:hAnsiTheme="minorHAnsi" w:cstheme="minorHAnsi"/>
          <w:lang w:val="en-ZA"/>
        </w:rPr>
        <w:t xml:space="preserve">key questions: </w:t>
      </w:r>
    </w:p>
    <w:p w14:paraId="54FAC351" w14:textId="623C5E11" w:rsidR="00ED0270" w:rsidRPr="00074106" w:rsidRDefault="00ED0270" w:rsidP="00ED0270">
      <w:pPr>
        <w:rPr>
          <w:rFonts w:asciiTheme="minorHAnsi" w:hAnsiTheme="minorHAnsi" w:cstheme="minorHAnsi"/>
        </w:rPr>
      </w:pPr>
    </w:p>
    <w:p w14:paraId="756D4DCA" w14:textId="78CB93C5" w:rsidR="001815E3" w:rsidRPr="00074106" w:rsidRDefault="001815E3" w:rsidP="00EB039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74106">
        <w:rPr>
          <w:rFonts w:asciiTheme="minorHAnsi" w:hAnsiTheme="minorHAnsi" w:cstheme="minorHAnsi"/>
        </w:rPr>
        <w:t xml:space="preserve">What can we do more with existing data and what are the </w:t>
      </w:r>
      <w:r w:rsidR="00B305A5">
        <w:rPr>
          <w:rFonts w:asciiTheme="minorHAnsi" w:hAnsiTheme="minorHAnsi" w:cstheme="minorHAnsi"/>
        </w:rPr>
        <w:t>bottlenecks/limitations</w:t>
      </w:r>
      <w:r w:rsidR="00B305A5" w:rsidRPr="00074106">
        <w:rPr>
          <w:rFonts w:asciiTheme="minorHAnsi" w:hAnsiTheme="minorHAnsi" w:cstheme="minorHAnsi"/>
        </w:rPr>
        <w:t xml:space="preserve"> </w:t>
      </w:r>
      <w:r w:rsidRPr="00074106">
        <w:rPr>
          <w:rFonts w:asciiTheme="minorHAnsi" w:hAnsiTheme="minorHAnsi" w:cstheme="minorHAnsi"/>
        </w:rPr>
        <w:t>to generate power</w:t>
      </w:r>
      <w:r w:rsidR="00EB0391" w:rsidRPr="00074106">
        <w:rPr>
          <w:rFonts w:asciiTheme="minorHAnsi" w:hAnsiTheme="minorHAnsi" w:cstheme="minorHAnsi"/>
        </w:rPr>
        <w:t>ful</w:t>
      </w:r>
      <w:r w:rsidRPr="00074106">
        <w:rPr>
          <w:rFonts w:asciiTheme="minorHAnsi" w:hAnsiTheme="minorHAnsi" w:cstheme="minorHAnsi"/>
        </w:rPr>
        <w:t xml:space="preserve"> information on inequalities for advocacy, action and accountability?</w:t>
      </w:r>
    </w:p>
    <w:p w14:paraId="1C0075A2" w14:textId="6C618D0E" w:rsidR="003163B5" w:rsidRPr="00074106" w:rsidRDefault="003163B5" w:rsidP="00EB039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74106">
        <w:rPr>
          <w:rFonts w:asciiTheme="minorHAnsi" w:hAnsiTheme="minorHAnsi" w:cstheme="minorHAnsi"/>
        </w:rPr>
        <w:t xml:space="preserve">What kind of evidence on </w:t>
      </w:r>
      <w:r w:rsidR="00491F21" w:rsidRPr="00074106">
        <w:rPr>
          <w:rFonts w:asciiTheme="minorHAnsi" w:hAnsiTheme="minorHAnsi" w:cstheme="minorHAnsi"/>
        </w:rPr>
        <w:t>inequalit</w:t>
      </w:r>
      <w:r w:rsidRPr="00074106">
        <w:rPr>
          <w:rFonts w:asciiTheme="minorHAnsi" w:hAnsiTheme="minorHAnsi" w:cstheme="minorHAnsi"/>
        </w:rPr>
        <w:t xml:space="preserve">ies is essential </w:t>
      </w:r>
      <w:r w:rsidR="00491F21" w:rsidRPr="00074106">
        <w:rPr>
          <w:rFonts w:asciiTheme="minorHAnsi" w:hAnsiTheme="minorHAnsi" w:cstheme="minorHAnsi"/>
        </w:rPr>
        <w:t>to guide health systems</w:t>
      </w:r>
      <w:r w:rsidRPr="00074106">
        <w:rPr>
          <w:rFonts w:asciiTheme="minorHAnsi" w:hAnsiTheme="minorHAnsi" w:cstheme="minorHAnsi"/>
        </w:rPr>
        <w:t xml:space="preserve"> and ensuring that no women, no child is left behind?</w:t>
      </w:r>
    </w:p>
    <w:p w14:paraId="0D42E5B4" w14:textId="27458A47" w:rsidR="001815E3" w:rsidRDefault="003163B5" w:rsidP="00EB039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74106">
        <w:rPr>
          <w:rFonts w:asciiTheme="minorHAnsi" w:hAnsiTheme="minorHAnsi" w:cstheme="minorHAnsi"/>
        </w:rPr>
        <w:t xml:space="preserve">What </w:t>
      </w:r>
      <w:r w:rsidR="001815E3" w:rsidRPr="00074106">
        <w:rPr>
          <w:rFonts w:asciiTheme="minorHAnsi" w:hAnsiTheme="minorHAnsi" w:cstheme="minorHAnsi"/>
        </w:rPr>
        <w:t xml:space="preserve">is </w:t>
      </w:r>
      <w:r w:rsidR="00491F21" w:rsidRPr="00074106">
        <w:rPr>
          <w:rFonts w:asciiTheme="minorHAnsi" w:hAnsiTheme="minorHAnsi" w:cstheme="minorHAnsi"/>
        </w:rPr>
        <w:t xml:space="preserve">the role of country public health institutions in </w:t>
      </w:r>
      <w:r w:rsidR="001815E3" w:rsidRPr="00074106">
        <w:rPr>
          <w:rFonts w:asciiTheme="minorHAnsi" w:hAnsiTheme="minorHAnsi" w:cstheme="minorHAnsi"/>
        </w:rPr>
        <w:t>generating information about inequalities?</w:t>
      </w:r>
    </w:p>
    <w:p w14:paraId="1D0A0186" w14:textId="61556A69" w:rsidR="00B305A5" w:rsidRPr="00074106" w:rsidRDefault="00B305A5" w:rsidP="00EB039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to translate evidence on inequalities into effective actions at country level?</w:t>
      </w:r>
    </w:p>
    <w:p w14:paraId="217C84A2" w14:textId="77777777" w:rsidR="001815E3" w:rsidRPr="00074106" w:rsidRDefault="001815E3" w:rsidP="00491F21">
      <w:pPr>
        <w:rPr>
          <w:rFonts w:asciiTheme="minorHAnsi" w:hAnsiTheme="minorHAnsi" w:cstheme="minorHAnsi"/>
        </w:rPr>
      </w:pPr>
    </w:p>
    <w:p w14:paraId="52607F6E" w14:textId="4F02EABB" w:rsidR="009E3190" w:rsidRPr="00074106" w:rsidRDefault="009E3190" w:rsidP="009E3190">
      <w:pPr>
        <w:rPr>
          <w:rFonts w:asciiTheme="minorHAnsi" w:hAnsiTheme="minorHAnsi" w:cstheme="minorHAnsi"/>
        </w:rPr>
      </w:pPr>
      <w:r w:rsidRPr="00074106">
        <w:rPr>
          <w:rFonts w:asciiTheme="minorHAnsi" w:hAnsiTheme="minorHAnsi" w:cstheme="minorHAnsi"/>
          <w:i/>
        </w:rPr>
        <w:t>Target audience</w:t>
      </w:r>
      <w:r w:rsidRPr="00074106">
        <w:rPr>
          <w:rFonts w:asciiTheme="minorHAnsi" w:hAnsiTheme="minorHAnsi" w:cstheme="minorHAnsi"/>
        </w:rPr>
        <w:t xml:space="preserve"> includes public health specialists, health system researchers, epidemiologists</w:t>
      </w:r>
      <w:r w:rsidR="00074106" w:rsidRPr="00074106">
        <w:rPr>
          <w:rFonts w:asciiTheme="minorHAnsi" w:hAnsiTheme="minorHAnsi" w:cstheme="minorHAnsi"/>
        </w:rPr>
        <w:t xml:space="preserve"> and demographers</w:t>
      </w:r>
      <w:r w:rsidRPr="00074106">
        <w:rPr>
          <w:rFonts w:asciiTheme="minorHAnsi" w:hAnsiTheme="minorHAnsi" w:cstheme="minorHAnsi"/>
        </w:rPr>
        <w:t>, health policy makers, civil society representatives and others.</w:t>
      </w:r>
    </w:p>
    <w:p w14:paraId="5B058B15" w14:textId="77777777" w:rsidR="009E3190" w:rsidRPr="007022B7" w:rsidRDefault="009E3190" w:rsidP="009E3190">
      <w:pPr>
        <w:rPr>
          <w:rFonts w:asciiTheme="minorHAnsi" w:hAnsiTheme="minorHAnsi" w:cstheme="minorHAnsi"/>
          <w:sz w:val="20"/>
          <w:szCs w:val="20"/>
        </w:rPr>
      </w:pPr>
    </w:p>
    <w:p w14:paraId="145FAC28" w14:textId="77777777" w:rsidR="009E3190" w:rsidRPr="007022B7" w:rsidRDefault="009E3190" w:rsidP="009E3190">
      <w:pPr>
        <w:rPr>
          <w:rFonts w:asciiTheme="minorHAnsi" w:hAnsiTheme="minorHAnsi" w:cstheme="minorHAnsi"/>
          <w:sz w:val="20"/>
          <w:szCs w:val="20"/>
        </w:rPr>
      </w:pPr>
    </w:p>
    <w:p w14:paraId="3BBEF49F" w14:textId="77777777" w:rsidR="009E3190" w:rsidRDefault="009E3190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lang w:val="en-ZA"/>
        </w:rPr>
      </w:pPr>
      <w:r>
        <w:rPr>
          <w:rFonts w:asciiTheme="minorHAnsi" w:hAnsiTheme="minorHAnsi" w:cstheme="minorHAnsi"/>
          <w:b/>
          <w:sz w:val="20"/>
          <w:szCs w:val="20"/>
          <w:lang w:val="en-ZA"/>
        </w:rPr>
        <w:br w:type="page"/>
      </w:r>
    </w:p>
    <w:p w14:paraId="318D319F" w14:textId="576028F5" w:rsidR="00307297" w:rsidRDefault="00307297" w:rsidP="004F00F8">
      <w:pPr>
        <w:shd w:val="clear" w:color="auto" w:fill="FFFFFF"/>
        <w:rPr>
          <w:rFonts w:asciiTheme="minorHAnsi" w:hAnsiTheme="minorHAnsi" w:cstheme="minorHAnsi"/>
          <w:sz w:val="20"/>
          <w:szCs w:val="20"/>
          <w:lang w:val="en-ZA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05"/>
        <w:gridCol w:w="5220"/>
        <w:gridCol w:w="3870"/>
      </w:tblGrid>
      <w:tr w:rsidR="001E7894" w14:paraId="04DADEDD" w14:textId="77777777" w:rsidTr="00D870F6">
        <w:tc>
          <w:tcPr>
            <w:tcW w:w="805" w:type="dxa"/>
          </w:tcPr>
          <w:p w14:paraId="25098765" w14:textId="1B297544" w:rsidR="001E7894" w:rsidRPr="004F00F8" w:rsidRDefault="001E7894" w:rsidP="000E1E19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Time</w:t>
            </w:r>
          </w:p>
        </w:tc>
        <w:tc>
          <w:tcPr>
            <w:tcW w:w="5220" w:type="dxa"/>
            <w:shd w:val="clear" w:color="auto" w:fill="auto"/>
          </w:tcPr>
          <w:p w14:paraId="799BF70B" w14:textId="55AA93A3" w:rsidR="001E7894" w:rsidRPr="004F00F8" w:rsidRDefault="001E7894" w:rsidP="000E1E19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Topic</w:t>
            </w:r>
          </w:p>
        </w:tc>
        <w:tc>
          <w:tcPr>
            <w:tcW w:w="3870" w:type="dxa"/>
          </w:tcPr>
          <w:p w14:paraId="6F615A87" w14:textId="19478547" w:rsidR="001E7894" w:rsidRPr="004F00F8" w:rsidRDefault="001E7894" w:rsidP="000E1E19">
            <w:pPr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 xml:space="preserve">Presenter / </w:t>
            </w:r>
            <w:r w:rsidRPr="00861BC0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ZA"/>
              </w:rPr>
              <w:t>moderator</w:t>
            </w:r>
          </w:p>
        </w:tc>
      </w:tr>
      <w:tr w:rsidR="001E7894" w14:paraId="668F217C" w14:textId="77777777" w:rsidTr="00D870F6">
        <w:tc>
          <w:tcPr>
            <w:tcW w:w="805" w:type="dxa"/>
          </w:tcPr>
          <w:p w14:paraId="5BA47476" w14:textId="1C4C22C7" w:rsidR="001E7894" w:rsidRPr="004F00F8" w:rsidRDefault="001E7894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09:00</w:t>
            </w:r>
          </w:p>
        </w:tc>
        <w:tc>
          <w:tcPr>
            <w:tcW w:w="5220" w:type="dxa"/>
            <w:shd w:val="clear" w:color="auto" w:fill="auto"/>
          </w:tcPr>
          <w:p w14:paraId="4F14CB34" w14:textId="0FCE008C" w:rsidR="001E7894" w:rsidRPr="004F00F8" w:rsidRDefault="00D53DC6" w:rsidP="00D53DC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Bidi"/>
                <w:sz w:val="20"/>
                <w:szCs w:val="20"/>
                <w:lang w:val="en-US" w:eastAsia="en-US"/>
              </w:rPr>
              <w:t xml:space="preserve">Leaving no woman, no child behind: what evidence on inequalities </w:t>
            </w: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is needed to advocate and act?</w:t>
            </w:r>
          </w:p>
        </w:tc>
        <w:tc>
          <w:tcPr>
            <w:tcW w:w="3870" w:type="dxa"/>
          </w:tcPr>
          <w:p w14:paraId="6BC458CA" w14:textId="008A385F" w:rsidR="001E7894" w:rsidRPr="004F00F8" w:rsidRDefault="001E7894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Ties Boerma</w:t>
            </w:r>
            <w:r w:rsidR="00EB0391"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, </w:t>
            </w:r>
            <w:r w:rsid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Countdown / </w:t>
            </w:r>
            <w:r w:rsidR="00EB0391"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University of Manitoba</w:t>
            </w:r>
            <w:r w:rsidR="00CA4099"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, Canada</w:t>
            </w:r>
          </w:p>
        </w:tc>
      </w:tr>
      <w:tr w:rsidR="004F00F8" w14:paraId="308CA3F5" w14:textId="77777777" w:rsidTr="00D870F6">
        <w:tc>
          <w:tcPr>
            <w:tcW w:w="805" w:type="dxa"/>
            <w:shd w:val="clear" w:color="auto" w:fill="D9E2F3" w:themeFill="accent1" w:themeFillTint="33"/>
          </w:tcPr>
          <w:p w14:paraId="00A94FE5" w14:textId="77777777" w:rsidR="004F00F8" w:rsidRPr="004F00F8" w:rsidRDefault="004F00F8" w:rsidP="00DB6F2F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  <w:shd w:val="clear" w:color="auto" w:fill="D9E2F3" w:themeFill="accent1" w:themeFillTint="33"/>
          </w:tcPr>
          <w:p w14:paraId="7A6AB56B" w14:textId="77777777" w:rsidR="004F00F8" w:rsidRPr="004F00F8" w:rsidRDefault="004F00F8" w:rsidP="00DB6F2F">
            <w:pPr>
              <w:rPr>
                <w:rFonts w:asciiTheme="minorHAnsi" w:hAnsiTheme="minorHAnsi" w:cstheme="minorBidi"/>
                <w:sz w:val="20"/>
                <w:szCs w:val="20"/>
                <w:lang w:val="en-US" w:eastAsia="en-US"/>
              </w:rPr>
            </w:pPr>
            <w:r w:rsidRPr="004F00F8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Interactive polling 1: everything you always wanted to know about inequalities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6ABEB0AC" w14:textId="77777777" w:rsidR="004F00F8" w:rsidRPr="004F00F8" w:rsidRDefault="004F00F8" w:rsidP="00DB6F2F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All participants</w:t>
            </w:r>
          </w:p>
        </w:tc>
      </w:tr>
      <w:tr w:rsidR="001E7894" w14:paraId="553174DC" w14:textId="77777777" w:rsidTr="00D870F6">
        <w:tc>
          <w:tcPr>
            <w:tcW w:w="805" w:type="dxa"/>
          </w:tcPr>
          <w:p w14:paraId="1C0485AA" w14:textId="18B366C5" w:rsidR="001E7894" w:rsidRPr="004F00F8" w:rsidRDefault="001E7894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09:30 </w:t>
            </w:r>
          </w:p>
        </w:tc>
        <w:tc>
          <w:tcPr>
            <w:tcW w:w="5220" w:type="dxa"/>
            <w:shd w:val="clear" w:color="auto" w:fill="auto"/>
          </w:tcPr>
          <w:p w14:paraId="748888A5" w14:textId="0907A1AB" w:rsidR="001E7894" w:rsidRPr="004F00F8" w:rsidRDefault="00354458" w:rsidP="001E789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 xml:space="preserve">Who is left behind? Doing more with existing data </w:t>
            </w:r>
          </w:p>
        </w:tc>
        <w:tc>
          <w:tcPr>
            <w:tcW w:w="3870" w:type="dxa"/>
          </w:tcPr>
          <w:p w14:paraId="34EF237E" w14:textId="33DA9A56" w:rsidR="001E7894" w:rsidRPr="00861BC0" w:rsidRDefault="00861BC0" w:rsidP="00861BC0">
            <w:pPr>
              <w:jc w:val="right"/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861BC0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Ties Boerma (m)</w:t>
            </w:r>
          </w:p>
        </w:tc>
      </w:tr>
      <w:tr w:rsidR="00354458" w14:paraId="05F10CCD" w14:textId="77777777" w:rsidTr="00D870F6">
        <w:tc>
          <w:tcPr>
            <w:tcW w:w="805" w:type="dxa"/>
          </w:tcPr>
          <w:p w14:paraId="0CEFE7A5" w14:textId="77777777" w:rsidR="00354458" w:rsidRPr="004F00F8" w:rsidRDefault="00354458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  <w:shd w:val="clear" w:color="auto" w:fill="auto"/>
          </w:tcPr>
          <w:p w14:paraId="6A9662C1" w14:textId="5ECD1AB0" w:rsidR="00354458" w:rsidRPr="004F00F8" w:rsidRDefault="00354458" w:rsidP="001E7894">
            <w:pPr>
              <w:shd w:val="clear" w:color="auto" w:fill="FFFFFF"/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Subnational inequalities in reproductive, maternal, newborn and child health in 19 countries in eastern and southern Africa </w:t>
            </w:r>
          </w:p>
        </w:tc>
        <w:tc>
          <w:tcPr>
            <w:tcW w:w="3870" w:type="dxa"/>
          </w:tcPr>
          <w:p w14:paraId="265780B3" w14:textId="7BB88E10" w:rsidR="00354458" w:rsidRPr="004F00F8" w:rsidRDefault="00354458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Cheikh Faye, Africa</w:t>
            </w:r>
            <w:r w:rsidR="004F00F8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n</w:t>
            </w: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 Population Health Research Centre, </w:t>
            </w:r>
            <w:r w:rsidR="00CA4099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Kenya</w:t>
            </w:r>
          </w:p>
        </w:tc>
      </w:tr>
      <w:tr w:rsidR="00354458" w14:paraId="1D608234" w14:textId="77777777" w:rsidTr="00D870F6">
        <w:tc>
          <w:tcPr>
            <w:tcW w:w="805" w:type="dxa"/>
          </w:tcPr>
          <w:p w14:paraId="5ADAAB38" w14:textId="77777777" w:rsidR="00354458" w:rsidRPr="004F00F8" w:rsidRDefault="00354458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  <w:shd w:val="clear" w:color="auto" w:fill="auto"/>
          </w:tcPr>
          <w:p w14:paraId="11E76102" w14:textId="0340BC70" w:rsidR="00354458" w:rsidRPr="004F00F8" w:rsidRDefault="00354458" w:rsidP="001E7894">
            <w:pPr>
              <w:shd w:val="clear" w:color="auto" w:fill="FFFFFF"/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Minorities: ethnicity and </w:t>
            </w:r>
            <w:r w:rsidR="00E97E61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reproductive, maternal, newborn and child </w:t>
            </w: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health in Latin America and the Caribbean</w:t>
            </w:r>
          </w:p>
        </w:tc>
        <w:tc>
          <w:tcPr>
            <w:tcW w:w="3870" w:type="dxa"/>
          </w:tcPr>
          <w:p w14:paraId="74813F26" w14:textId="5F27D0D1" w:rsidR="00354458" w:rsidRPr="004F00F8" w:rsidRDefault="00354458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Luis Huicho, </w:t>
            </w:r>
            <w:r w:rsidRPr="004F00F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Universidad Peruana Cayetano Heredia</w:t>
            </w:r>
            <w:r w:rsidR="00E97E61" w:rsidRPr="004F00F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</w:t>
            </w:r>
            <w:r w:rsidR="00CA4099" w:rsidRPr="004F00F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Lima, </w:t>
            </w:r>
            <w:r w:rsidR="00E97E61" w:rsidRPr="004F00F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Peru</w:t>
            </w:r>
          </w:p>
        </w:tc>
      </w:tr>
      <w:tr w:rsidR="00354458" w14:paraId="5EA9B10B" w14:textId="77777777" w:rsidTr="00D870F6">
        <w:tc>
          <w:tcPr>
            <w:tcW w:w="805" w:type="dxa"/>
          </w:tcPr>
          <w:p w14:paraId="2D6CB83E" w14:textId="77777777" w:rsidR="00354458" w:rsidRPr="004F00F8" w:rsidRDefault="00354458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  <w:shd w:val="clear" w:color="auto" w:fill="auto"/>
          </w:tcPr>
          <w:p w14:paraId="3EE4EFED" w14:textId="03EEFB1F" w:rsidR="00354458" w:rsidRPr="004F00F8" w:rsidRDefault="004F00F8" w:rsidP="001E7894">
            <w:pPr>
              <w:shd w:val="clear" w:color="auto" w:fill="FFFFFF"/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T</w:t>
            </w:r>
            <w:r w:rsidR="00354458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he urban poor in sub-Saharan Africa</w:t>
            </w:r>
          </w:p>
        </w:tc>
        <w:tc>
          <w:tcPr>
            <w:tcW w:w="3870" w:type="dxa"/>
          </w:tcPr>
          <w:p w14:paraId="6FD522EC" w14:textId="064F6EBA" w:rsidR="00354458" w:rsidRPr="004F00F8" w:rsidRDefault="00354458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Agbessi Amouzou, Johns Hopkins University, Baltimore</w:t>
            </w:r>
            <w:r w:rsidR="00CA4099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, USA</w:t>
            </w:r>
          </w:p>
        </w:tc>
      </w:tr>
      <w:tr w:rsidR="001E7894" w14:paraId="33C948F2" w14:textId="77777777" w:rsidTr="00D870F6">
        <w:tc>
          <w:tcPr>
            <w:tcW w:w="805" w:type="dxa"/>
          </w:tcPr>
          <w:p w14:paraId="655CFED3" w14:textId="1F996FDF" w:rsidR="001E7894" w:rsidRPr="004F00F8" w:rsidRDefault="001E7894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  <w:shd w:val="clear" w:color="auto" w:fill="auto"/>
          </w:tcPr>
          <w:p w14:paraId="3BA8DBDD" w14:textId="5750473C" w:rsidR="001E7894" w:rsidRPr="004F00F8" w:rsidRDefault="00354458" w:rsidP="001E7894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Discussion</w:t>
            </w:r>
          </w:p>
        </w:tc>
        <w:tc>
          <w:tcPr>
            <w:tcW w:w="3870" w:type="dxa"/>
          </w:tcPr>
          <w:p w14:paraId="580786C0" w14:textId="3B79FD1D" w:rsidR="001E7894" w:rsidRPr="004F00F8" w:rsidRDefault="001E7894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</w:tr>
      <w:tr w:rsidR="00D20FDF" w14:paraId="13B5C97E" w14:textId="77777777" w:rsidTr="00D870F6">
        <w:tc>
          <w:tcPr>
            <w:tcW w:w="805" w:type="dxa"/>
          </w:tcPr>
          <w:p w14:paraId="4E57F6FA" w14:textId="5A6BB8E3" w:rsidR="00D20FDF" w:rsidRPr="004F00F8" w:rsidRDefault="00D20FDF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11:00</w:t>
            </w:r>
          </w:p>
        </w:tc>
        <w:tc>
          <w:tcPr>
            <w:tcW w:w="5220" w:type="dxa"/>
            <w:shd w:val="clear" w:color="auto" w:fill="auto"/>
          </w:tcPr>
          <w:p w14:paraId="1FAAB4E1" w14:textId="72B0CCAA" w:rsidR="00D20FDF" w:rsidRPr="004F00F8" w:rsidRDefault="00D20FDF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Coffee break</w:t>
            </w:r>
          </w:p>
        </w:tc>
        <w:tc>
          <w:tcPr>
            <w:tcW w:w="3870" w:type="dxa"/>
          </w:tcPr>
          <w:p w14:paraId="72E9F054" w14:textId="77777777" w:rsidR="00D20FDF" w:rsidRPr="004F00F8" w:rsidRDefault="00D20FDF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</w:p>
        </w:tc>
      </w:tr>
      <w:tr w:rsidR="00D20FDF" w14:paraId="7E9FC554" w14:textId="77777777" w:rsidTr="00D870F6">
        <w:tc>
          <w:tcPr>
            <w:tcW w:w="805" w:type="dxa"/>
          </w:tcPr>
          <w:p w14:paraId="29B09A8F" w14:textId="6CF35BA9" w:rsidR="00D20FDF" w:rsidRPr="004F00F8" w:rsidRDefault="00D20FDF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11:30</w:t>
            </w:r>
          </w:p>
        </w:tc>
        <w:tc>
          <w:tcPr>
            <w:tcW w:w="5220" w:type="dxa"/>
            <w:shd w:val="clear" w:color="auto" w:fill="auto"/>
          </w:tcPr>
          <w:p w14:paraId="77261DD6" w14:textId="65799130" w:rsidR="00D20FDF" w:rsidRPr="004F00F8" w:rsidRDefault="00D20FDF" w:rsidP="000E1E19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  <w:t>Addressing the gaps in information on inequalities</w:t>
            </w:r>
          </w:p>
        </w:tc>
        <w:tc>
          <w:tcPr>
            <w:tcW w:w="3870" w:type="dxa"/>
          </w:tcPr>
          <w:p w14:paraId="0C539C4C" w14:textId="59B1F4AD" w:rsidR="00D20FDF" w:rsidRPr="00861BC0" w:rsidRDefault="004F00F8" w:rsidP="00861BC0">
            <w:pPr>
              <w:jc w:val="right"/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</w:pPr>
            <w:r w:rsidRPr="00861BC0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>Zulfiqar Bhutta</w:t>
            </w:r>
            <w:r w:rsidR="00861BC0" w:rsidRPr="00861BC0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 xml:space="preserve"> (m)</w:t>
            </w:r>
          </w:p>
        </w:tc>
      </w:tr>
      <w:tr w:rsidR="00D20FDF" w14:paraId="523907B5" w14:textId="77777777" w:rsidTr="00D870F6">
        <w:tc>
          <w:tcPr>
            <w:tcW w:w="805" w:type="dxa"/>
            <w:shd w:val="clear" w:color="auto" w:fill="D9E2F3" w:themeFill="accent1" w:themeFillTint="33"/>
          </w:tcPr>
          <w:p w14:paraId="6861D2AE" w14:textId="77777777" w:rsidR="00D20FDF" w:rsidRPr="004F00F8" w:rsidRDefault="00D20FDF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  <w:shd w:val="clear" w:color="auto" w:fill="D9E2F3" w:themeFill="accent1" w:themeFillTint="33"/>
          </w:tcPr>
          <w:p w14:paraId="0BDC5626" w14:textId="25AECD7A" w:rsidR="00D20FDF" w:rsidRPr="004F00F8" w:rsidRDefault="00D20FDF" w:rsidP="000E1E19">
            <w:pPr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>Interactive polling</w:t>
            </w:r>
            <w:r w:rsidR="009E3190" w:rsidRPr="004F00F8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 xml:space="preserve"> 2</w:t>
            </w:r>
            <w:r w:rsidRPr="004F00F8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>: what do we really need to know to better address inequalities?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1EE1A9BA" w14:textId="14BEA705" w:rsidR="00D20FDF" w:rsidRPr="004F00F8" w:rsidRDefault="00D20FDF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All participants</w:t>
            </w:r>
          </w:p>
        </w:tc>
      </w:tr>
      <w:tr w:rsidR="00354458" w14:paraId="6F89C896" w14:textId="77777777" w:rsidTr="00D870F6">
        <w:tc>
          <w:tcPr>
            <w:tcW w:w="805" w:type="dxa"/>
          </w:tcPr>
          <w:p w14:paraId="497909B4" w14:textId="4F105C14" w:rsidR="00354458" w:rsidRPr="004F00F8" w:rsidRDefault="00354458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43761AB4" w14:textId="01110125" w:rsidR="00354458" w:rsidRPr="004F00F8" w:rsidRDefault="00354458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No evidence, no equity: how can we do more with existing data from surveys to identify who is left behind</w:t>
            </w:r>
          </w:p>
        </w:tc>
        <w:tc>
          <w:tcPr>
            <w:tcW w:w="3870" w:type="dxa"/>
          </w:tcPr>
          <w:p w14:paraId="24EB3CD7" w14:textId="490ED406" w:rsidR="00354458" w:rsidRPr="004F00F8" w:rsidRDefault="00354458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Aluisio Barros, </w:t>
            </w:r>
            <w:r w:rsidRPr="004F00F8">
              <w:rPr>
                <w:rStyle w:val="Strong"/>
                <w:rFonts w:asciiTheme="minorHAnsi" w:eastAsia="Times New Roman" w:hAnsiTheme="minorHAnsi" w:cstheme="minorHAnsi"/>
                <w:b w:val="0"/>
                <w:sz w:val="20"/>
                <w:szCs w:val="20"/>
                <w:lang w:val="en-ZA"/>
              </w:rPr>
              <w:t xml:space="preserve">Federal </w:t>
            </w: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University of Pelotas, Brazil</w:t>
            </w:r>
          </w:p>
        </w:tc>
      </w:tr>
      <w:tr w:rsidR="001E7894" w14:paraId="351B50ED" w14:textId="77777777" w:rsidTr="00D870F6">
        <w:tc>
          <w:tcPr>
            <w:tcW w:w="805" w:type="dxa"/>
          </w:tcPr>
          <w:p w14:paraId="2E91799A" w14:textId="737A94D3" w:rsidR="001E7894" w:rsidRPr="004F00F8" w:rsidRDefault="001E7894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1DF2C26B" w14:textId="1961D732" w:rsidR="001E7894" w:rsidRPr="004F00F8" w:rsidRDefault="00D20FDF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Addressing </w:t>
            </w:r>
            <w:r w:rsidR="00C333BA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gaps in how the </w:t>
            </w:r>
            <w:r w:rsidR="00947D0A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Global Financing Facility (GFF)</w:t>
            </w:r>
            <w:r w:rsidR="00C333BA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 handles adolescent health: what evidence is needed</w:t>
            </w: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?</w:t>
            </w:r>
          </w:p>
        </w:tc>
        <w:tc>
          <w:tcPr>
            <w:tcW w:w="3870" w:type="dxa"/>
          </w:tcPr>
          <w:p w14:paraId="05194290" w14:textId="316C3FEA" w:rsidR="001E7894" w:rsidRPr="004F00F8" w:rsidRDefault="00D20FDF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Asha George, University of Western Cape</w:t>
            </w:r>
            <w:r w:rsidR="00CA4099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, South Africa</w:t>
            </w:r>
          </w:p>
        </w:tc>
      </w:tr>
      <w:tr w:rsidR="009E3190" w14:paraId="47B6750F" w14:textId="77777777" w:rsidTr="00D870F6">
        <w:tc>
          <w:tcPr>
            <w:tcW w:w="805" w:type="dxa"/>
          </w:tcPr>
          <w:p w14:paraId="7FAB07A0" w14:textId="77777777" w:rsidR="009E3190" w:rsidRPr="004F00F8" w:rsidRDefault="009E3190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5F5090A4" w14:textId="59895BB3" w:rsidR="009E3190" w:rsidRPr="004F00F8" w:rsidRDefault="00947D0A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 Changes in inequalities in reproductive health, maternal and child health and nutrition in India</w:t>
            </w:r>
          </w:p>
        </w:tc>
        <w:tc>
          <w:tcPr>
            <w:tcW w:w="3870" w:type="dxa"/>
          </w:tcPr>
          <w:p w14:paraId="30C9C5CF" w14:textId="058FC742" w:rsidR="009E3190" w:rsidRPr="004F00F8" w:rsidRDefault="00947D0A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Purnima Menon, IFPRI, India</w:t>
            </w:r>
          </w:p>
        </w:tc>
      </w:tr>
      <w:tr w:rsidR="00994232" w14:paraId="78322DF9" w14:textId="77777777" w:rsidTr="00D870F6">
        <w:tc>
          <w:tcPr>
            <w:tcW w:w="805" w:type="dxa"/>
          </w:tcPr>
          <w:p w14:paraId="537B683C" w14:textId="77777777" w:rsidR="00994232" w:rsidRPr="004F00F8" w:rsidRDefault="00994232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405AB78A" w14:textId="2DFC3CD0" w:rsidR="00994232" w:rsidRPr="004F00F8" w:rsidRDefault="00994232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Discussion</w:t>
            </w:r>
          </w:p>
        </w:tc>
        <w:tc>
          <w:tcPr>
            <w:tcW w:w="3870" w:type="dxa"/>
          </w:tcPr>
          <w:p w14:paraId="733FF8A1" w14:textId="77777777" w:rsidR="00994232" w:rsidRPr="004F00F8" w:rsidRDefault="00994232" w:rsidP="000E1E1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</w:p>
        </w:tc>
      </w:tr>
      <w:tr w:rsidR="001E7894" w14:paraId="3C3A1B05" w14:textId="77777777" w:rsidTr="00D870F6">
        <w:tc>
          <w:tcPr>
            <w:tcW w:w="805" w:type="dxa"/>
          </w:tcPr>
          <w:p w14:paraId="73FC59EE" w14:textId="5DBCF08E" w:rsidR="001E7894" w:rsidRPr="004F00F8" w:rsidRDefault="001E7894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</w:t>
            </w:r>
            <w:r w:rsidR="00D20FDF"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3</w:t>
            </w: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:</w:t>
            </w:r>
            <w:r w:rsidR="00D20FDF"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</w:t>
            </w: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</w:t>
            </w:r>
          </w:p>
        </w:tc>
        <w:tc>
          <w:tcPr>
            <w:tcW w:w="5220" w:type="dxa"/>
          </w:tcPr>
          <w:p w14:paraId="3312E464" w14:textId="40F9E98C" w:rsidR="001E7894" w:rsidRPr="004F00F8" w:rsidRDefault="00CA4099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Lunch break</w:t>
            </w:r>
          </w:p>
        </w:tc>
        <w:tc>
          <w:tcPr>
            <w:tcW w:w="3870" w:type="dxa"/>
          </w:tcPr>
          <w:p w14:paraId="76D09D94" w14:textId="77777777" w:rsidR="001E7894" w:rsidRPr="004F00F8" w:rsidRDefault="001E7894" w:rsidP="000E1E19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</w:tr>
      <w:tr w:rsidR="004D5166" w14:paraId="1AA34F62" w14:textId="77777777" w:rsidTr="00D870F6">
        <w:tc>
          <w:tcPr>
            <w:tcW w:w="805" w:type="dxa"/>
          </w:tcPr>
          <w:p w14:paraId="3D1D3D1D" w14:textId="77777777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25BE4978" w14:textId="430680FC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  <w:t>Reaching all in conflict settings</w:t>
            </w:r>
          </w:p>
        </w:tc>
        <w:tc>
          <w:tcPr>
            <w:tcW w:w="3870" w:type="dxa"/>
          </w:tcPr>
          <w:p w14:paraId="10154275" w14:textId="0631ACB2" w:rsidR="004D5166" w:rsidRPr="00861BC0" w:rsidRDefault="00077329" w:rsidP="00861BC0">
            <w:pPr>
              <w:jc w:val="right"/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</w:pPr>
            <w:r w:rsidRPr="00861BC0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>Agbessi Amouzou</w:t>
            </w:r>
            <w:r w:rsidR="00861BC0" w:rsidRPr="00861BC0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 xml:space="preserve"> (m)</w:t>
            </w:r>
          </w:p>
        </w:tc>
      </w:tr>
      <w:tr w:rsidR="004D5166" w14:paraId="16288FC8" w14:textId="77777777" w:rsidTr="00D870F6">
        <w:tc>
          <w:tcPr>
            <w:tcW w:w="805" w:type="dxa"/>
            <w:shd w:val="clear" w:color="auto" w:fill="D9E2F3" w:themeFill="accent1" w:themeFillTint="33"/>
          </w:tcPr>
          <w:p w14:paraId="06292405" w14:textId="3FBA5B6F" w:rsidR="004D5166" w:rsidRPr="004F00F8" w:rsidRDefault="00CA4099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14:00</w:t>
            </w:r>
          </w:p>
        </w:tc>
        <w:tc>
          <w:tcPr>
            <w:tcW w:w="5220" w:type="dxa"/>
            <w:shd w:val="clear" w:color="auto" w:fill="D9E2F3" w:themeFill="accent1" w:themeFillTint="33"/>
          </w:tcPr>
          <w:p w14:paraId="735776E1" w14:textId="4AE483AE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 xml:space="preserve">Interactive polling </w:t>
            </w:r>
            <w:r w:rsidR="00CA4099" w:rsidRPr="004F00F8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>3</w:t>
            </w:r>
            <w:r w:rsidRPr="004F00F8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 xml:space="preserve">: what do we really know </w:t>
            </w:r>
            <w:r w:rsidR="00CA4099" w:rsidRPr="004F00F8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 xml:space="preserve">about </w:t>
            </w:r>
            <w:r w:rsidRPr="004F00F8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>health in conflict settings?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7D78963D" w14:textId="69C6A5E6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All participants</w:t>
            </w:r>
          </w:p>
        </w:tc>
      </w:tr>
      <w:tr w:rsidR="004D5166" w14:paraId="5A6FF450" w14:textId="77777777" w:rsidTr="00D870F6">
        <w:tc>
          <w:tcPr>
            <w:tcW w:w="805" w:type="dxa"/>
          </w:tcPr>
          <w:p w14:paraId="2D20BB9B" w14:textId="06673073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5BC9FBE1" w14:textId="5639B364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Health systems, women’s, children’s and adolescents’ health in conflict-affect countries</w:t>
            </w:r>
          </w:p>
        </w:tc>
        <w:tc>
          <w:tcPr>
            <w:tcW w:w="3870" w:type="dxa"/>
          </w:tcPr>
          <w:p w14:paraId="6ED0C705" w14:textId="7D001A79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Zulfiqar Bhutta, Univ</w:t>
            </w:r>
            <w:r w:rsid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.</w:t>
            </w: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 of Toronto &amp; A</w:t>
            </w:r>
            <w:r w:rsidR="004F00F8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ga </w:t>
            </w:r>
            <w:r w:rsidR="00CA4099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K</w:t>
            </w:r>
            <w:r w:rsidR="004F00F8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han </w:t>
            </w:r>
            <w:r w:rsidR="00CA4099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U</w:t>
            </w:r>
            <w:r w:rsidR="004F00F8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niversity,</w:t>
            </w:r>
            <w:r w:rsidR="00CA4099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 Pakistan</w:t>
            </w:r>
          </w:p>
        </w:tc>
      </w:tr>
      <w:tr w:rsidR="004D5166" w14:paraId="0CFD67FA" w14:textId="77777777" w:rsidTr="00D870F6">
        <w:tc>
          <w:tcPr>
            <w:tcW w:w="805" w:type="dxa"/>
          </w:tcPr>
          <w:p w14:paraId="13FC97AD" w14:textId="77777777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5C538FED" w14:textId="6F6E4C08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Generating evidence in conflict situations: piecing together data to identify the neediest populations in the Syria conflict.</w:t>
            </w:r>
          </w:p>
        </w:tc>
        <w:tc>
          <w:tcPr>
            <w:tcW w:w="3870" w:type="dxa"/>
          </w:tcPr>
          <w:p w14:paraId="0CC56D43" w14:textId="7567C66A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Jocelyn DeJong, American University of Beirut, Lebanon</w:t>
            </w:r>
          </w:p>
        </w:tc>
      </w:tr>
      <w:tr w:rsidR="00CA4099" w14:paraId="7A1D6A56" w14:textId="77777777" w:rsidTr="00D870F6">
        <w:tc>
          <w:tcPr>
            <w:tcW w:w="805" w:type="dxa"/>
          </w:tcPr>
          <w:p w14:paraId="37FF1763" w14:textId="45025C94" w:rsidR="00CA4099" w:rsidRPr="004F00F8" w:rsidRDefault="00CA4099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15:00</w:t>
            </w:r>
          </w:p>
        </w:tc>
        <w:tc>
          <w:tcPr>
            <w:tcW w:w="5220" w:type="dxa"/>
          </w:tcPr>
          <w:p w14:paraId="5030F0F4" w14:textId="1184C82A" w:rsidR="00CA4099" w:rsidRPr="004F00F8" w:rsidRDefault="00CA4099" w:rsidP="004D5166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Coffee/tea break</w:t>
            </w:r>
          </w:p>
        </w:tc>
        <w:tc>
          <w:tcPr>
            <w:tcW w:w="3870" w:type="dxa"/>
          </w:tcPr>
          <w:p w14:paraId="00989F21" w14:textId="77777777" w:rsidR="00CA4099" w:rsidRPr="004F00F8" w:rsidRDefault="00CA4099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</w:p>
        </w:tc>
      </w:tr>
      <w:tr w:rsidR="004D5166" w14:paraId="025C4E50" w14:textId="77777777" w:rsidTr="00D870F6">
        <w:tc>
          <w:tcPr>
            <w:tcW w:w="805" w:type="dxa"/>
          </w:tcPr>
          <w:p w14:paraId="46CAB1EB" w14:textId="3BDBA567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</w:t>
            </w:r>
            <w:r w:rsidR="00CA4099"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5</w:t>
            </w: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:</w:t>
            </w:r>
            <w:r w:rsidR="00CA4099"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3</w:t>
            </w: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0</w:t>
            </w:r>
          </w:p>
        </w:tc>
        <w:tc>
          <w:tcPr>
            <w:tcW w:w="5220" w:type="dxa"/>
          </w:tcPr>
          <w:p w14:paraId="6918645A" w14:textId="6F476D78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  <w:t>From data to action</w:t>
            </w:r>
            <w:r w:rsidR="00CA4099" w:rsidRPr="004F00F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  <w:t>, what is the role of country public health institutions: panel</w:t>
            </w:r>
          </w:p>
        </w:tc>
        <w:tc>
          <w:tcPr>
            <w:tcW w:w="3870" w:type="dxa"/>
          </w:tcPr>
          <w:p w14:paraId="67CEC4AF" w14:textId="44817FE2" w:rsidR="004D5166" w:rsidRPr="00861BC0" w:rsidRDefault="004F00F8" w:rsidP="00861BC0">
            <w:pPr>
              <w:jc w:val="right"/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</w:pPr>
            <w:r w:rsidRPr="00861BC0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>Joy Lawn</w:t>
            </w:r>
            <w:r w:rsidR="00861BC0" w:rsidRPr="00861BC0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 xml:space="preserve"> (m)</w:t>
            </w:r>
          </w:p>
        </w:tc>
      </w:tr>
      <w:tr w:rsidR="004D5166" w14:paraId="0C3C06FE" w14:textId="77777777" w:rsidTr="00D870F6">
        <w:tc>
          <w:tcPr>
            <w:tcW w:w="805" w:type="dxa"/>
            <w:shd w:val="clear" w:color="auto" w:fill="D9E2F3" w:themeFill="accent1" w:themeFillTint="33"/>
          </w:tcPr>
          <w:p w14:paraId="355772DE" w14:textId="77777777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  <w:shd w:val="clear" w:color="auto" w:fill="D9E2F3" w:themeFill="accent1" w:themeFillTint="33"/>
          </w:tcPr>
          <w:p w14:paraId="76DE8BEE" w14:textId="18ADBE0C" w:rsidR="004D5166" w:rsidRPr="004F00F8" w:rsidRDefault="004D5166" w:rsidP="004D5166">
            <w:pPr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 xml:space="preserve">Interactive polling </w:t>
            </w:r>
            <w:r w:rsidR="00CA4099" w:rsidRPr="004F00F8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4</w:t>
            </w:r>
            <w:r w:rsidRPr="004F00F8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: w</w:t>
            </w:r>
            <w:r w:rsidRPr="004F00F8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n-ZA"/>
              </w:rPr>
              <w:t>hat evidence on inequalities is most effective for advocacy, action and accountability?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52AB2F22" w14:textId="07519C89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All participants</w:t>
            </w:r>
          </w:p>
        </w:tc>
      </w:tr>
      <w:tr w:rsidR="004D5166" w14:paraId="189132B0" w14:textId="77777777" w:rsidTr="00D870F6">
        <w:tc>
          <w:tcPr>
            <w:tcW w:w="805" w:type="dxa"/>
          </w:tcPr>
          <w:p w14:paraId="0EF0824D" w14:textId="77777777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3BC37A85" w14:textId="10CC9499" w:rsidR="004D5166" w:rsidRPr="004F00F8" w:rsidRDefault="00CA4099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What information and data work best for country advocacy, action and accountability?</w:t>
            </w:r>
          </w:p>
        </w:tc>
        <w:tc>
          <w:tcPr>
            <w:tcW w:w="3870" w:type="dxa"/>
          </w:tcPr>
          <w:p w14:paraId="55402325" w14:textId="02614237" w:rsidR="004D5166" w:rsidRPr="004F00F8" w:rsidRDefault="004F00F8" w:rsidP="004F00F8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Kofi Busia</w:t>
            </w:r>
            <w:r w:rsidR="004D5166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, West Africa Health Organization, </w:t>
            </w:r>
            <w:r w:rsidR="00CA4099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Burkina Faso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; </w:t>
            </w:r>
            <w:r w:rsidR="00CA4099"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Miriam Sabin, PMNCH, Geneva</w:t>
            </w:r>
          </w:p>
        </w:tc>
      </w:tr>
      <w:tr w:rsidR="004D5166" w14:paraId="6ABE7EF6" w14:textId="77777777" w:rsidTr="00D870F6">
        <w:tc>
          <w:tcPr>
            <w:tcW w:w="805" w:type="dxa"/>
          </w:tcPr>
          <w:p w14:paraId="1F167CDD" w14:textId="77777777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3CC0FDFB" w14:textId="1E3F78AC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What is the role of country public health institutions?</w:t>
            </w:r>
          </w:p>
        </w:tc>
        <w:tc>
          <w:tcPr>
            <w:tcW w:w="3870" w:type="dxa"/>
          </w:tcPr>
          <w:p w14:paraId="7DD5CCB2" w14:textId="701761C6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Peter Waiswa, Makerere University, Uganda</w:t>
            </w:r>
            <w:r w:rsid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;</w:t>
            </w:r>
          </w:p>
          <w:p w14:paraId="15E87DE1" w14:textId="77777777" w:rsidR="00CA4099" w:rsidRPr="004F00F8" w:rsidRDefault="00CA4099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proofErr w:type="spellStart"/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Hamadoun</w:t>
            </w:r>
            <w:proofErr w:type="spellEnd"/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 </w:t>
            </w:r>
            <w:proofErr w:type="spellStart"/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Sangho</w:t>
            </w:r>
            <w:proofErr w:type="spellEnd"/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, CREDOS, Mali</w:t>
            </w:r>
          </w:p>
          <w:p w14:paraId="122A50D3" w14:textId="77777777" w:rsidR="00CA4099" w:rsidRPr="00D870F6" w:rsidRDefault="00CA4099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Josephine </w:t>
            </w:r>
            <w:proofErr w:type="spellStart"/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Shabani</w:t>
            </w:r>
            <w:proofErr w:type="spellEnd"/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, </w:t>
            </w:r>
            <w:proofErr w:type="spellStart"/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Ifakara</w:t>
            </w:r>
            <w:proofErr w:type="spellEnd"/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 xml:space="preserve"> Health </w:t>
            </w:r>
            <w:r w:rsidRPr="00D870F6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Institute</w:t>
            </w:r>
          </w:p>
          <w:p w14:paraId="2878B49E" w14:textId="77777777" w:rsidR="003C38DC" w:rsidRPr="00D870F6" w:rsidRDefault="003C38DC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D870F6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Estelle Sidze, APHRC, Kenya</w:t>
            </w:r>
          </w:p>
          <w:p w14:paraId="00F72A2F" w14:textId="77777777" w:rsidR="00D870F6" w:rsidRPr="00D870F6" w:rsidRDefault="00D870F6" w:rsidP="00D870F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proofErr w:type="spellStart"/>
            <w:r w:rsidRPr="00D870F6">
              <w:rPr>
                <w:rFonts w:asciiTheme="minorHAnsi" w:hAnsiTheme="minorHAnsi"/>
                <w:sz w:val="20"/>
                <w:szCs w:val="20"/>
              </w:rPr>
              <w:t>Wubegzier</w:t>
            </w:r>
            <w:proofErr w:type="spellEnd"/>
            <w:r w:rsidRPr="00D870F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870F6">
              <w:rPr>
                <w:rFonts w:asciiTheme="minorHAnsi" w:hAnsiTheme="minorHAnsi"/>
                <w:sz w:val="20"/>
                <w:szCs w:val="20"/>
              </w:rPr>
              <w:t>Mekonenn</w:t>
            </w:r>
            <w:proofErr w:type="spellEnd"/>
            <w:r w:rsidRPr="00D870F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870F6">
              <w:rPr>
                <w:rFonts w:asciiTheme="minorHAnsi" w:hAnsiTheme="minorHAnsi"/>
                <w:sz w:val="20"/>
                <w:szCs w:val="20"/>
              </w:rPr>
              <w:t>Ayele</w:t>
            </w:r>
            <w:proofErr w:type="spellEnd"/>
          </w:p>
          <w:p w14:paraId="52DC5BE7" w14:textId="0D5480FF" w:rsidR="00D870F6" w:rsidRPr="00D870F6" w:rsidRDefault="00D870F6" w:rsidP="004D5166">
            <w:pPr>
              <w:rPr>
                <w:rFonts w:asciiTheme="minorHAnsi" w:hAnsiTheme="minorHAnsi"/>
                <w:sz w:val="20"/>
                <w:szCs w:val="20"/>
              </w:rPr>
            </w:pPr>
            <w:r w:rsidRPr="00D870F6">
              <w:rPr>
                <w:rFonts w:asciiTheme="minorHAnsi" w:hAnsiTheme="minorHAnsi"/>
                <w:sz w:val="20"/>
                <w:szCs w:val="20"/>
              </w:rPr>
              <w:t>School of Public Health, Addis Ababa University</w:t>
            </w:r>
          </w:p>
        </w:tc>
      </w:tr>
      <w:tr w:rsidR="004D5166" w14:paraId="07796BC5" w14:textId="77777777" w:rsidTr="00D870F6">
        <w:tc>
          <w:tcPr>
            <w:tcW w:w="805" w:type="dxa"/>
          </w:tcPr>
          <w:p w14:paraId="1B1CBB39" w14:textId="77777777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5220" w:type="dxa"/>
          </w:tcPr>
          <w:p w14:paraId="38473AE5" w14:textId="489FB006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Discussion</w:t>
            </w:r>
          </w:p>
        </w:tc>
        <w:tc>
          <w:tcPr>
            <w:tcW w:w="3870" w:type="dxa"/>
          </w:tcPr>
          <w:p w14:paraId="1FAB3E15" w14:textId="77777777" w:rsidR="004D5166" w:rsidRPr="004F00F8" w:rsidRDefault="004D5166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</w:p>
        </w:tc>
      </w:tr>
      <w:tr w:rsidR="004D5166" w14:paraId="4DA3227F" w14:textId="77777777" w:rsidTr="00D870F6">
        <w:tc>
          <w:tcPr>
            <w:tcW w:w="805" w:type="dxa"/>
          </w:tcPr>
          <w:p w14:paraId="55365FA4" w14:textId="2039F5EA" w:rsidR="004D5166" w:rsidRPr="004F00F8" w:rsidRDefault="004D5166" w:rsidP="004D516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17:00</w:t>
            </w:r>
          </w:p>
        </w:tc>
        <w:tc>
          <w:tcPr>
            <w:tcW w:w="5220" w:type="dxa"/>
          </w:tcPr>
          <w:p w14:paraId="21FFF2BE" w14:textId="006563CE" w:rsidR="004D5166" w:rsidRPr="004F00F8" w:rsidRDefault="004D5166" w:rsidP="004D5166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ZA"/>
              </w:rPr>
              <w:t>Concluding remarks &amp; closure</w:t>
            </w:r>
          </w:p>
        </w:tc>
        <w:tc>
          <w:tcPr>
            <w:tcW w:w="3870" w:type="dxa"/>
          </w:tcPr>
          <w:p w14:paraId="73102688" w14:textId="72B23EA1" w:rsidR="004D5166" w:rsidRPr="004F00F8" w:rsidRDefault="00CA4099" w:rsidP="004D5166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</w:pPr>
            <w:r w:rsidRPr="004F00F8">
              <w:rPr>
                <w:rFonts w:asciiTheme="minorHAnsi" w:eastAsia="Times New Roman" w:hAnsiTheme="minorHAnsi" w:cstheme="minorHAnsi"/>
                <w:sz w:val="20"/>
                <w:szCs w:val="20"/>
                <w:lang w:val="en-ZA"/>
              </w:rPr>
              <w:t>Ties Boerma, Countdown to 2030</w:t>
            </w:r>
          </w:p>
        </w:tc>
      </w:tr>
    </w:tbl>
    <w:p w14:paraId="289D0A71" w14:textId="77777777" w:rsidR="00F1001E" w:rsidRDefault="00F1001E" w:rsidP="004F00F8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F100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5391"/>
    <w:multiLevelType w:val="multilevel"/>
    <w:tmpl w:val="592C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547A3"/>
    <w:multiLevelType w:val="hybridMultilevel"/>
    <w:tmpl w:val="DD84C0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52EFB"/>
    <w:multiLevelType w:val="hybridMultilevel"/>
    <w:tmpl w:val="0A14E0B8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572A4"/>
    <w:multiLevelType w:val="multilevel"/>
    <w:tmpl w:val="9CF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75F5F"/>
    <w:multiLevelType w:val="hybridMultilevel"/>
    <w:tmpl w:val="E932D5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9D33BF"/>
    <w:multiLevelType w:val="hybridMultilevel"/>
    <w:tmpl w:val="C5BEA8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B059C"/>
    <w:multiLevelType w:val="hybridMultilevel"/>
    <w:tmpl w:val="1180E0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64649"/>
    <w:multiLevelType w:val="hybridMultilevel"/>
    <w:tmpl w:val="ABAA24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C696A"/>
    <w:multiLevelType w:val="multilevel"/>
    <w:tmpl w:val="B8DE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19"/>
    <w:rsid w:val="00037BB6"/>
    <w:rsid w:val="00074106"/>
    <w:rsid w:val="00077329"/>
    <w:rsid w:val="000A5070"/>
    <w:rsid w:val="000B3F83"/>
    <w:rsid w:val="000E1E19"/>
    <w:rsid w:val="000F4A05"/>
    <w:rsid w:val="00167E91"/>
    <w:rsid w:val="001815E3"/>
    <w:rsid w:val="001E7894"/>
    <w:rsid w:val="0024274A"/>
    <w:rsid w:val="00293B25"/>
    <w:rsid w:val="002E4420"/>
    <w:rsid w:val="00307297"/>
    <w:rsid w:val="003163B5"/>
    <w:rsid w:val="00347A64"/>
    <w:rsid w:val="00354458"/>
    <w:rsid w:val="0036012C"/>
    <w:rsid w:val="003B7007"/>
    <w:rsid w:val="003C38DC"/>
    <w:rsid w:val="00491F21"/>
    <w:rsid w:val="004D5166"/>
    <w:rsid w:val="004F00F8"/>
    <w:rsid w:val="0060203D"/>
    <w:rsid w:val="00664D9F"/>
    <w:rsid w:val="007022B7"/>
    <w:rsid w:val="007148AD"/>
    <w:rsid w:val="00783BFF"/>
    <w:rsid w:val="007932E1"/>
    <w:rsid w:val="0084771D"/>
    <w:rsid w:val="008572AC"/>
    <w:rsid w:val="00861BC0"/>
    <w:rsid w:val="00907A2A"/>
    <w:rsid w:val="00947D0A"/>
    <w:rsid w:val="0095346B"/>
    <w:rsid w:val="00994232"/>
    <w:rsid w:val="009E3190"/>
    <w:rsid w:val="00A81F08"/>
    <w:rsid w:val="00A82087"/>
    <w:rsid w:val="00A820A9"/>
    <w:rsid w:val="00B305A5"/>
    <w:rsid w:val="00BB2591"/>
    <w:rsid w:val="00BB7EDB"/>
    <w:rsid w:val="00BE1420"/>
    <w:rsid w:val="00BF71B4"/>
    <w:rsid w:val="00C333BA"/>
    <w:rsid w:val="00C90F5E"/>
    <w:rsid w:val="00CA4099"/>
    <w:rsid w:val="00CD6D1B"/>
    <w:rsid w:val="00CE4246"/>
    <w:rsid w:val="00D20FDF"/>
    <w:rsid w:val="00D444ED"/>
    <w:rsid w:val="00D53DC6"/>
    <w:rsid w:val="00D870F6"/>
    <w:rsid w:val="00DB78BB"/>
    <w:rsid w:val="00E807D0"/>
    <w:rsid w:val="00E97E61"/>
    <w:rsid w:val="00EB0391"/>
    <w:rsid w:val="00ED0270"/>
    <w:rsid w:val="00F1001E"/>
    <w:rsid w:val="00F45CA5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E547E"/>
  <w15:docId w15:val="{BDB98F7F-EFFD-44F8-B19A-95483F55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19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1E19"/>
    <w:rPr>
      <w:b/>
      <w:bCs/>
    </w:rPr>
  </w:style>
  <w:style w:type="paragraph" w:styleId="ListParagraph">
    <w:name w:val="List Paragraph"/>
    <w:basedOn w:val="Normal"/>
    <w:uiPriority w:val="34"/>
    <w:qFormat/>
    <w:rsid w:val="00CD6D1B"/>
    <w:pPr>
      <w:ind w:left="720"/>
      <w:contextualSpacing/>
    </w:pPr>
  </w:style>
  <w:style w:type="table" w:styleId="TableGrid">
    <w:name w:val="Table Grid"/>
    <w:basedOn w:val="TableNormal"/>
    <w:uiPriority w:val="39"/>
    <w:rsid w:val="001E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3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3BA"/>
    <w:rPr>
      <w:rFonts w:ascii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3BA"/>
    <w:rPr>
      <w:rFonts w:ascii="Times New Roman" w:hAnsi="Times New Roman" w:cs="Times New Roman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BA"/>
    <w:rPr>
      <w:rFonts w:ascii="Segoe UI" w:hAnsi="Segoe UI" w:cs="Segoe UI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0CA9-CC2D-4752-85F8-9308E891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 Boerma</dc:creator>
  <cp:keywords/>
  <dc:description/>
  <cp:lastModifiedBy>Fox, Monica J.</cp:lastModifiedBy>
  <cp:revision>2</cp:revision>
  <dcterms:created xsi:type="dcterms:W3CDTF">2018-09-14T14:09:00Z</dcterms:created>
  <dcterms:modified xsi:type="dcterms:W3CDTF">2018-09-14T14:09:00Z</dcterms:modified>
</cp:coreProperties>
</file>